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883CDB" w:rsidP="00883CDB">
      <w:pPr>
        <w:tabs>
          <w:tab w:val="center" w:pos="4680"/>
        </w:tabs>
        <w:suppressAutoHyphens/>
        <w:spacing w:beforeLines="60" w:before="144" w:afterLines="60" w:after="144" w:line="276" w:lineRule="auto"/>
        <w:jc w:val="center"/>
        <w:rPr>
          <w:b/>
          <w:spacing w:val="-3"/>
        </w:rPr>
      </w:pPr>
      <w:r>
        <w:rPr>
          <w:b/>
          <w:spacing w:val="-3"/>
        </w:rPr>
        <w:t>UBBESTON</w:t>
      </w:r>
      <w:r w:rsidR="00CE4922">
        <w:rPr>
          <w:b/>
          <w:spacing w:val="-3"/>
        </w:rPr>
        <w:t xml:space="preserve"> PARISH</w:t>
      </w:r>
      <w:r w:rsidR="00277548">
        <w:rPr>
          <w:b/>
          <w:spacing w:val="-3"/>
        </w:rPr>
        <w:t xml:space="preserve"> </w:t>
      </w:r>
      <w:r w:rsidR="00CE4922">
        <w:rPr>
          <w:b/>
          <w:spacing w:val="-3"/>
        </w:rPr>
        <w:t>COUNCIL</w:t>
      </w:r>
    </w:p>
    <w:p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rsidR="00626F57" w:rsidRDefault="00626F57" w:rsidP="00411338">
      <w:pPr>
        <w:tabs>
          <w:tab w:val="center" w:pos="4680"/>
        </w:tabs>
        <w:suppressAutoHyphens/>
        <w:spacing w:beforeLines="60" w:before="144" w:afterLines="60" w:after="144" w:line="276" w:lineRule="auto"/>
        <w:jc w:val="center"/>
        <w:rPr>
          <w:i/>
          <w:spacing w:val="-3"/>
        </w:rPr>
      </w:pPr>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EF34D8" w:rsidRPr="00EF54A6" w:rsidRDefault="00EF34D8" w:rsidP="00EF34D8">
      <w:pPr>
        <w:tabs>
          <w:tab w:val="left" w:pos="-1440"/>
          <w:tab w:val="left" w:pos="-720"/>
          <w:tab w:val="left" w:pos="0"/>
          <w:tab w:val="left" w:pos="1080"/>
          <w:tab w:val="left" w:pos="1440"/>
        </w:tabs>
        <w:suppressAutoHyphens/>
        <w:spacing w:beforeLines="60" w:before="144" w:afterLines="60" w:after="144" w:line="276" w:lineRule="auto"/>
        <w:rPr>
          <w:rFonts w:ascii="Calibri" w:hAnsi="Calibri" w:cs="Calibri"/>
          <w:b/>
          <w:spacing w:val="-3"/>
        </w:rPr>
      </w:pPr>
      <w:r>
        <w:rPr>
          <w:rFonts w:ascii="Calibri" w:hAnsi="Calibri" w:cs="Calibri"/>
          <w:b/>
          <w:spacing w:val="-3"/>
          <w:u w:val="single"/>
        </w:rPr>
        <w:t xml:space="preserve">FINANCIAL REGULATIONS </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rPr>
        <w:fldChar w:fldCharType="begin"/>
      </w:r>
      <w:r w:rsidRPr="00EF54A6">
        <w:rPr>
          <w:rFonts w:ascii="Calibri" w:hAnsi="Calibri" w:cs="Calibri"/>
        </w:rPr>
        <w:instrText xml:space="preserve"> TOC \h \z \t "Heading 1111,1" </w:instrText>
      </w:r>
      <w:r w:rsidRPr="00EF54A6">
        <w:rPr>
          <w:rFonts w:ascii="Calibri" w:hAnsi="Calibri" w:cs="Calibri"/>
        </w:rPr>
        <w:fldChar w:fldCharType="separate"/>
      </w:r>
      <w:r w:rsidRPr="00EF54A6">
        <w:rPr>
          <w:rFonts w:ascii="Calibri" w:hAnsi="Calibri" w:cs="Calibri"/>
          <w:noProof/>
        </w:rPr>
        <w:t>1.</w:t>
      </w:r>
      <w:r w:rsidRPr="00EF54A6">
        <w:rPr>
          <w:rFonts w:ascii="Calibri" w:hAnsi="Calibri" w:cs="Calibri"/>
          <w:noProof/>
          <w:lang w:val="en-US"/>
        </w:rPr>
        <w:tab/>
      </w:r>
      <w:r w:rsidRPr="00EF54A6">
        <w:rPr>
          <w:rFonts w:ascii="Calibri" w:hAnsi="Calibri" w:cs="Calibri"/>
          <w:noProof/>
        </w:rPr>
        <w:t>GENERAL</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2.</w:t>
      </w:r>
      <w:r w:rsidRPr="00EF54A6">
        <w:rPr>
          <w:rFonts w:ascii="Calibri" w:hAnsi="Calibri" w:cs="Calibri"/>
          <w:noProof/>
          <w:lang w:val="en-US"/>
        </w:rPr>
        <w:tab/>
      </w:r>
      <w:r w:rsidRPr="00EF54A6">
        <w:rPr>
          <w:rFonts w:ascii="Calibri" w:hAnsi="Calibri" w:cs="Calibri"/>
          <w:noProof/>
        </w:rPr>
        <w:t>ACCOUNTING AND AUDIT (INTERNAL AND EXTERNAL)</w:t>
      </w:r>
      <w:r w:rsidRPr="00EF54A6" w:rsidDel="00120525">
        <w:rPr>
          <w:rFonts w:ascii="Calibri" w:hAnsi="Calibri" w:cs="Calibri"/>
          <w:noProof/>
        </w:rPr>
        <w:t xml:space="preserve"> </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3.</w:t>
      </w:r>
      <w:r w:rsidRPr="00EF54A6">
        <w:rPr>
          <w:rFonts w:ascii="Calibri" w:hAnsi="Calibri" w:cs="Calibri"/>
          <w:noProof/>
          <w:lang w:val="en-US"/>
        </w:rPr>
        <w:tab/>
      </w:r>
      <w:r w:rsidRPr="00EF54A6">
        <w:rPr>
          <w:rFonts w:ascii="Calibri" w:hAnsi="Calibri" w:cs="Calibri"/>
          <w:noProof/>
        </w:rPr>
        <w:t>ANNUAL ESTIMATES (BUDGET) AND FORWARD PLANNING</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4.</w:t>
      </w:r>
      <w:r w:rsidRPr="00EF54A6">
        <w:rPr>
          <w:rFonts w:ascii="Calibri" w:hAnsi="Calibri" w:cs="Calibri"/>
          <w:noProof/>
          <w:lang w:val="en-US"/>
        </w:rPr>
        <w:tab/>
      </w:r>
      <w:r w:rsidRPr="00EF54A6">
        <w:rPr>
          <w:rFonts w:ascii="Calibri" w:hAnsi="Calibri" w:cs="Calibri"/>
          <w:noProof/>
        </w:rPr>
        <w:t>BUDGETARY CONTROL AND AUTHORITY TO SPEND</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5.</w:t>
      </w:r>
      <w:r w:rsidRPr="00EF54A6">
        <w:rPr>
          <w:rFonts w:ascii="Calibri" w:hAnsi="Calibri" w:cs="Calibri"/>
          <w:noProof/>
          <w:lang w:val="en-US"/>
        </w:rPr>
        <w:tab/>
      </w:r>
      <w:r w:rsidRPr="00EF54A6">
        <w:rPr>
          <w:rFonts w:ascii="Calibri" w:hAnsi="Calibri" w:cs="Calibri"/>
          <w:noProof/>
        </w:rPr>
        <w:t>BANKING ARRANGEMENTS AND AUTHORISATION OF PAYMENTS</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6.</w:t>
      </w:r>
      <w:r w:rsidRPr="00EF54A6">
        <w:rPr>
          <w:rFonts w:ascii="Calibri" w:hAnsi="Calibri" w:cs="Calibri"/>
          <w:noProof/>
          <w:lang w:val="en-US"/>
        </w:rPr>
        <w:tab/>
      </w:r>
      <w:r w:rsidRPr="00EF54A6">
        <w:rPr>
          <w:rFonts w:ascii="Calibri" w:hAnsi="Calibri" w:cs="Calibri"/>
          <w:noProof/>
        </w:rPr>
        <w:t>INSTRUCTIONS FOR THE MAKING OF PAYMENTS</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7.</w:t>
      </w:r>
      <w:r w:rsidRPr="00EF54A6">
        <w:rPr>
          <w:rFonts w:ascii="Calibri" w:hAnsi="Calibri" w:cs="Calibri"/>
          <w:noProof/>
          <w:lang w:val="en-US"/>
        </w:rPr>
        <w:tab/>
      </w:r>
      <w:r w:rsidRPr="00EF54A6">
        <w:rPr>
          <w:rFonts w:ascii="Calibri" w:hAnsi="Calibri" w:cs="Calibri"/>
          <w:noProof/>
        </w:rPr>
        <w:t>PAYMENT OF SALARIES</w:t>
      </w:r>
    </w:p>
    <w:p w:rsidR="00EF34D8" w:rsidRDefault="00EF34D8" w:rsidP="00EF34D8">
      <w:pPr>
        <w:pStyle w:val="TOC1"/>
        <w:tabs>
          <w:tab w:val="left" w:pos="440"/>
          <w:tab w:val="right" w:leader="dot" w:pos="9629"/>
        </w:tabs>
        <w:rPr>
          <w:rFonts w:ascii="Calibri" w:hAnsi="Calibri" w:cs="Calibri"/>
          <w:noProof/>
        </w:rPr>
      </w:pPr>
      <w:r w:rsidRPr="00EF54A6">
        <w:rPr>
          <w:rFonts w:ascii="Calibri" w:hAnsi="Calibri" w:cs="Calibri"/>
          <w:noProof/>
        </w:rPr>
        <w:t>8.</w:t>
      </w:r>
      <w:r w:rsidRPr="00EF54A6">
        <w:rPr>
          <w:rFonts w:ascii="Calibri" w:hAnsi="Calibri" w:cs="Calibri"/>
          <w:noProof/>
          <w:lang w:val="en-US"/>
        </w:rPr>
        <w:tab/>
      </w:r>
      <w:r w:rsidRPr="00EF54A6">
        <w:rPr>
          <w:rFonts w:ascii="Calibri" w:hAnsi="Calibri" w:cs="Calibri"/>
          <w:noProof/>
        </w:rPr>
        <w:t>LOANS AND INVESTMENTS</w:t>
      </w:r>
    </w:p>
    <w:p w:rsidR="00EF34D8" w:rsidRPr="00EF54A6" w:rsidRDefault="00EF34D8" w:rsidP="00EF34D8">
      <w:pPr>
        <w:pStyle w:val="TOC1"/>
        <w:tabs>
          <w:tab w:val="left" w:pos="440"/>
          <w:tab w:val="right" w:leader="dot" w:pos="9629"/>
        </w:tabs>
        <w:rPr>
          <w:rFonts w:ascii="Calibri" w:hAnsi="Calibri" w:cs="Calibri"/>
          <w:noProof/>
          <w:lang w:val="en-US"/>
        </w:rPr>
      </w:pPr>
      <w:r w:rsidRPr="00EF54A6">
        <w:rPr>
          <w:rFonts w:ascii="Calibri" w:hAnsi="Calibri" w:cs="Calibri"/>
          <w:noProof/>
        </w:rPr>
        <w:t>9.</w:t>
      </w:r>
      <w:r w:rsidRPr="00EF54A6">
        <w:rPr>
          <w:rFonts w:ascii="Calibri" w:hAnsi="Calibri" w:cs="Calibri"/>
          <w:noProof/>
          <w:lang w:val="en-US"/>
        </w:rPr>
        <w:tab/>
      </w:r>
      <w:r w:rsidRPr="00EF54A6">
        <w:rPr>
          <w:rFonts w:ascii="Calibri" w:hAnsi="Calibri" w:cs="Calibri"/>
          <w:noProof/>
        </w:rPr>
        <w:t>INCOME</w:t>
      </w:r>
    </w:p>
    <w:p w:rsidR="00EF34D8" w:rsidRDefault="00EF34D8" w:rsidP="00EF34D8">
      <w:pPr>
        <w:pStyle w:val="TOC1"/>
        <w:tabs>
          <w:tab w:val="clear" w:pos="567"/>
          <w:tab w:val="left" w:pos="574"/>
          <w:tab w:val="right" w:leader="dot" w:pos="9629"/>
        </w:tabs>
        <w:rPr>
          <w:rFonts w:ascii="Calibri" w:hAnsi="Calibri" w:cs="Calibri"/>
          <w:noProof/>
        </w:rPr>
      </w:pPr>
      <w:r w:rsidRPr="00EF54A6">
        <w:rPr>
          <w:rFonts w:ascii="Calibri" w:hAnsi="Calibri" w:cs="Calibri"/>
          <w:noProof/>
        </w:rPr>
        <w:t>10.</w:t>
      </w:r>
      <w:r w:rsidRPr="00EF54A6">
        <w:rPr>
          <w:rFonts w:ascii="Calibri" w:hAnsi="Calibri" w:cs="Calibri"/>
          <w:noProof/>
          <w:lang w:val="en-US"/>
        </w:rPr>
        <w:tab/>
      </w:r>
      <w:r w:rsidRPr="00EF54A6">
        <w:rPr>
          <w:rFonts w:ascii="Calibri" w:hAnsi="Calibri" w:cs="Calibri"/>
          <w:noProof/>
        </w:rPr>
        <w:t>ORDERS FOR WORK, GOODS AND SERVICES</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11.</w:t>
      </w:r>
      <w:r w:rsidRPr="00EF54A6">
        <w:rPr>
          <w:rFonts w:ascii="Calibri" w:hAnsi="Calibri" w:cs="Calibri"/>
          <w:noProof/>
          <w:lang w:val="en-US"/>
        </w:rPr>
        <w:tab/>
      </w:r>
      <w:r w:rsidRPr="00EF54A6">
        <w:rPr>
          <w:rFonts w:ascii="Calibri" w:hAnsi="Calibri" w:cs="Calibri"/>
          <w:noProof/>
        </w:rPr>
        <w:t>CONTRACTS</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12.</w:t>
      </w:r>
      <w:r w:rsidRPr="00EF54A6">
        <w:rPr>
          <w:rFonts w:ascii="Calibri" w:hAnsi="Calibri" w:cs="Calibri"/>
          <w:noProof/>
          <w:lang w:val="en-US"/>
        </w:rPr>
        <w:tab/>
      </w:r>
      <w:r w:rsidRPr="00EF54A6">
        <w:rPr>
          <w:rFonts w:ascii="Calibri" w:hAnsi="Calibri" w:cs="Calibri"/>
          <w:noProof/>
        </w:rPr>
        <w:t>[PAYMENTS UNDER CONTRACTS FOR BUILDING OR OTHER CONSTRUCTION WORKS</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13.</w:t>
      </w:r>
      <w:r w:rsidRPr="00EF54A6">
        <w:rPr>
          <w:rFonts w:ascii="Calibri" w:hAnsi="Calibri" w:cs="Calibri"/>
          <w:noProof/>
          <w:lang w:val="en-US"/>
        </w:rPr>
        <w:tab/>
      </w:r>
      <w:r w:rsidRPr="00EF54A6">
        <w:rPr>
          <w:rFonts w:ascii="Calibri" w:hAnsi="Calibri" w:cs="Calibri"/>
          <w:noProof/>
        </w:rPr>
        <w:t>[STORES AND EQUIPMENT</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14.</w:t>
      </w:r>
      <w:r w:rsidRPr="00EF54A6">
        <w:rPr>
          <w:rFonts w:ascii="Calibri" w:hAnsi="Calibri" w:cs="Calibri"/>
          <w:noProof/>
          <w:lang w:val="en-US"/>
        </w:rPr>
        <w:tab/>
      </w:r>
      <w:r w:rsidRPr="00EF54A6">
        <w:rPr>
          <w:rFonts w:ascii="Calibri" w:hAnsi="Calibri" w:cs="Calibri"/>
          <w:noProof/>
        </w:rPr>
        <w:t>ASSETS, PROPERTIES AND ESTATES</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15.</w:t>
      </w:r>
      <w:r w:rsidRPr="00EF54A6">
        <w:rPr>
          <w:rFonts w:ascii="Calibri" w:hAnsi="Calibri" w:cs="Calibri"/>
          <w:noProof/>
          <w:lang w:val="en-US"/>
        </w:rPr>
        <w:tab/>
      </w:r>
      <w:r w:rsidRPr="00EF54A6">
        <w:rPr>
          <w:rFonts w:ascii="Calibri" w:hAnsi="Calibri" w:cs="Calibri"/>
          <w:noProof/>
        </w:rPr>
        <w:t>INSURANCE</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16.</w:t>
      </w:r>
      <w:r w:rsidRPr="00EF54A6">
        <w:rPr>
          <w:rFonts w:ascii="Calibri" w:hAnsi="Calibri" w:cs="Calibri"/>
          <w:noProof/>
          <w:lang w:val="en-US"/>
        </w:rPr>
        <w:tab/>
      </w:r>
      <w:r w:rsidRPr="00EF54A6">
        <w:rPr>
          <w:rFonts w:ascii="Calibri" w:hAnsi="Calibri" w:cs="Calibri"/>
          <w:noProof/>
        </w:rPr>
        <w:t>[CHARITIES</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17.</w:t>
      </w:r>
      <w:r w:rsidRPr="00EF54A6">
        <w:rPr>
          <w:rFonts w:ascii="Calibri" w:hAnsi="Calibri" w:cs="Calibri"/>
          <w:noProof/>
          <w:lang w:val="en-US"/>
        </w:rPr>
        <w:tab/>
      </w:r>
      <w:r w:rsidRPr="00EF54A6">
        <w:rPr>
          <w:rFonts w:ascii="Calibri" w:hAnsi="Calibri" w:cs="Calibri"/>
          <w:noProof/>
        </w:rPr>
        <w:t>RISK MANAGEMENT</w:t>
      </w:r>
    </w:p>
    <w:p w:rsidR="00EF34D8" w:rsidRPr="00EF54A6" w:rsidRDefault="00EF34D8" w:rsidP="00EF34D8">
      <w:pPr>
        <w:pStyle w:val="TOC1"/>
        <w:tabs>
          <w:tab w:val="clear" w:pos="567"/>
          <w:tab w:val="left" w:pos="574"/>
          <w:tab w:val="right" w:leader="dot" w:pos="9629"/>
        </w:tabs>
        <w:rPr>
          <w:rFonts w:ascii="Calibri" w:hAnsi="Calibri" w:cs="Calibri"/>
          <w:noProof/>
          <w:lang w:val="en-US"/>
        </w:rPr>
      </w:pPr>
      <w:r w:rsidRPr="00EF54A6">
        <w:rPr>
          <w:rFonts w:ascii="Calibri" w:hAnsi="Calibri" w:cs="Calibri"/>
          <w:noProof/>
        </w:rPr>
        <w:t>18.</w:t>
      </w:r>
      <w:r w:rsidRPr="00EF54A6">
        <w:rPr>
          <w:rFonts w:ascii="Calibri" w:hAnsi="Calibri" w:cs="Calibri"/>
          <w:noProof/>
          <w:lang w:val="en-US"/>
        </w:rPr>
        <w:tab/>
      </w:r>
      <w:r w:rsidRPr="00EF54A6">
        <w:rPr>
          <w:rFonts w:ascii="Calibri" w:hAnsi="Calibri" w:cs="Calibri"/>
          <w:noProof/>
        </w:rPr>
        <w:t>SUSPENSION AND REVISION OF FINANCIAL REGULATIONS</w:t>
      </w:r>
    </w:p>
    <w:p w:rsidR="00FD2701" w:rsidRDefault="00EF34D8" w:rsidP="00EF34D8">
      <w:pPr>
        <w:spacing w:beforeLines="60" w:before="144" w:afterLines="60" w:after="144" w:line="276" w:lineRule="auto"/>
        <w:jc w:val="both"/>
        <w:rPr>
          <w:spacing w:val="-3"/>
        </w:rPr>
      </w:pPr>
      <w:r w:rsidRPr="00EF54A6">
        <w:rPr>
          <w:rFonts w:ascii="Calibri" w:hAnsi="Calibri" w:cs="Calibri"/>
        </w:rPr>
        <w:fldChar w:fldCharType="end"/>
      </w:r>
    </w:p>
    <w:p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F34D8" w:rsidRDefault="00EF34D8"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bookmarkStart w:id="0" w:name="_GoBack"/>
      <w:bookmarkEnd w:id="0"/>
      <w:r>
        <w:rPr>
          <w:spacing w:val="-3"/>
        </w:rPr>
        <w:lastRenderedPageBreak/>
        <w:t xml:space="preserve">These Financial Regulations were adopted by the Council at its Meeting held on </w:t>
      </w:r>
      <w:r w:rsidR="00A21C86">
        <w:rPr>
          <w:spacing w:val="-3"/>
        </w:rPr>
        <w:t>9</w:t>
      </w:r>
      <w:r w:rsidR="00A21C86" w:rsidRPr="00A21C86">
        <w:rPr>
          <w:spacing w:val="-3"/>
          <w:vertAlign w:val="superscript"/>
        </w:rPr>
        <w:t>th</w:t>
      </w:r>
      <w:r w:rsidR="00A21C86">
        <w:rPr>
          <w:spacing w:val="-3"/>
        </w:rPr>
        <w:t xml:space="preserve"> </w:t>
      </w:r>
      <w:r w:rsidR="002061EA">
        <w:rPr>
          <w:spacing w:val="-3"/>
        </w:rPr>
        <w:t>May</w:t>
      </w:r>
      <w:r w:rsidR="00491A70">
        <w:rPr>
          <w:spacing w:val="-3"/>
        </w:rPr>
        <w:t xml:space="preserve"> 2017.</w:t>
      </w:r>
    </w:p>
    <w:p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1" w:name="_Toc382309736"/>
      <w:r w:rsidRPr="00411338">
        <w:t>GENERAL</w:t>
      </w:r>
      <w:bookmarkEnd w:id="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491A70">
        <w:rPr>
          <w:spacing w:val="-3"/>
        </w:rPr>
        <w:t xml:space="preserve"> be appointed by the council. </w:t>
      </w:r>
      <w:r>
        <w:rPr>
          <w:spacing w:val="-3"/>
        </w:rPr>
        <w:t>The Clerk has been appointed as RFO for this council and these regul</w:t>
      </w:r>
      <w:r w:rsidR="00491A70">
        <w:rPr>
          <w:spacing w:val="-3"/>
        </w:rPr>
        <w:t>ations will apply accordingly.</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r w:rsidRPr="00E633AF">
        <w:t>shall be a matter for the full council only.</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411338">
      <w:pPr>
        <w:pStyle w:val="Heading1111"/>
        <w:numPr>
          <w:ilvl w:val="0"/>
          <w:numId w:val="0"/>
        </w:numPr>
        <w:spacing w:beforeLines="60" w:before="144" w:afterLines="60" w:after="144"/>
        <w:contextualSpacing w:val="0"/>
      </w:pPr>
    </w:p>
    <w:p w:rsidR="00F62C9F" w:rsidRPr="00411338" w:rsidRDefault="00D77A22" w:rsidP="00F37D5A">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491A70">
        <w:rPr>
          <w:spacing w:val="-3"/>
        </w:rPr>
        <w:t>ouncil.</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491A70">
        <w:rPr>
          <w:spacing w:val="-3"/>
        </w:rPr>
        <w:t>December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F37D5A">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782350">
        <w:rPr>
          <w:spacing w:val="-3"/>
        </w:rPr>
        <w:t>d at least annually in September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w:t>
      </w:r>
      <w:r w:rsidRPr="00411338">
        <w:rPr>
          <w:spacing w:val="-3"/>
        </w:rPr>
        <w:lastRenderedPageBreak/>
        <w:t>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proofErr w:type="spellStart"/>
      <w:r w:rsidR="00F522E4" w:rsidRPr="00411338">
        <w:rPr>
          <w:spacing w:val="-3"/>
        </w:rPr>
        <w:t>c</w:t>
      </w:r>
      <w:r w:rsidR="00CE4922" w:rsidRPr="00411338">
        <w:rPr>
          <w:spacing w:val="-3"/>
        </w:rPr>
        <w:t>ouncil</w:t>
      </w:r>
      <w:r w:rsidR="006304AB">
        <w:rPr>
          <w:spacing w:val="-3"/>
        </w:rPr>
        <w:t>.</w:t>
      </w:r>
      <w:r w:rsidRPr="00411338">
        <w:rPr>
          <w:spacing w:val="-3"/>
        </w:rPr>
        <w:t>The</w:t>
      </w:r>
      <w:proofErr w:type="spellEnd"/>
      <w:r w:rsidRPr="00411338">
        <w:rPr>
          <w:spacing w:val="-3"/>
        </w:rPr>
        <w:t xml:space="preserv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f</w:t>
      </w:r>
      <w:r w:rsidR="00E400DF" w:rsidRPr="00411338">
        <w:rPr>
          <w:spacing w:val="-3"/>
        </w:rPr>
        <w:t>inance</w:t>
      </w:r>
      <w:r w:rsidR="006304AB">
        <w:rPr>
          <w:spacing w:val="-3"/>
        </w:rPr>
        <w:t>.</w:t>
      </w:r>
      <w:r w:rsidR="00E400DF" w:rsidRPr="00411338">
        <w:rPr>
          <w:spacing w:val="-3"/>
        </w:rPr>
        <w:t xml:space="preserve"> </w:t>
      </w:r>
      <w:r w:rsidRPr="00411338">
        <w:rPr>
          <w:spacing w:val="-3"/>
        </w:rPr>
        <w:t>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6304AB">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304AB">
        <w:rPr>
          <w:spacing w:val="-3"/>
        </w:rPr>
        <w:t xml:space="preserve"> o</w:t>
      </w:r>
      <w:r w:rsidR="0069707D">
        <w:rPr>
          <w:spacing w:val="-3"/>
        </w:rPr>
        <w:t>r</w:t>
      </w:r>
      <w:r w:rsidR="006304AB">
        <w:rPr>
          <w:spacing w:val="-3"/>
        </w:rPr>
        <w:t>;</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6304AB">
        <w:rPr>
          <w:spacing w:val="-3"/>
        </w:rPr>
        <w:t>.</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411338">
      <w:pPr>
        <w:spacing w:beforeLines="60" w:before="144" w:afterLines="60" w:after="144" w:line="276" w:lineRule="auto"/>
        <w:jc w:val="both"/>
      </w:pPr>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6304AB">
        <w:rPr>
          <w:spacing w:val="-3"/>
        </w:rPr>
        <w:t xml:space="preserve"> of council</w:t>
      </w:r>
    </w:p>
    <w:p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ank, the Cle</w:t>
      </w:r>
      <w:r w:rsidR="00AA6F17">
        <w:rPr>
          <w:spacing w:val="-3"/>
        </w:rPr>
        <w:t>rk</w:t>
      </w:r>
      <w:r w:rsidRPr="00411338">
        <w:rPr>
          <w:spacing w:val="-3"/>
        </w:rPr>
        <w:t xml:space="preserve">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the Clerk</w:t>
      </w:r>
      <w:r w:rsidR="00AA6F17">
        <w:rPr>
          <w:spacing w:val="-3"/>
        </w:rPr>
        <w:t>.</w:t>
      </w:r>
      <w:r w:rsidR="00575C5B" w:rsidRPr="00411338">
        <w:rPr>
          <w:spacing w:val="-3"/>
        </w:rPr>
        <w:t xml:space="preserve"> </w:t>
      </w:r>
      <w:r w:rsidR="001F7D45" w:rsidRPr="00411338">
        <w:rPr>
          <w:spacing w:val="-3"/>
        </w:rPr>
        <w:t>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AA6F17" w:rsidRDefault="00575C5B" w:rsidP="002566FD">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AA6F17">
        <w:rPr>
          <w:spacing w:val="-3"/>
        </w:rPr>
        <w:t xml:space="preserve">A pre-paid debit card may be issued to employees with varying limits. These limits will be set by the </w:t>
      </w:r>
      <w:r w:rsidR="005E6074" w:rsidRPr="00AA6F17">
        <w:rPr>
          <w:spacing w:val="-3"/>
        </w:rPr>
        <w:t>c</w:t>
      </w:r>
      <w:r w:rsidR="00AA6F17" w:rsidRPr="00AA6F17">
        <w:rPr>
          <w:spacing w:val="-3"/>
        </w:rPr>
        <w:t xml:space="preserve">ouncil. </w:t>
      </w:r>
      <w:r w:rsidRPr="00AA6F17">
        <w:rPr>
          <w:spacing w:val="-3"/>
        </w:rPr>
        <w:t>Transactions and purchase</w:t>
      </w:r>
      <w:r w:rsidR="00AA6F17" w:rsidRPr="00AA6F17">
        <w:rPr>
          <w:spacing w:val="-3"/>
        </w:rPr>
        <w:t xml:space="preserve">s made will be reported to the </w:t>
      </w:r>
      <w:r w:rsidR="005E6074" w:rsidRPr="00AA6F17">
        <w:rPr>
          <w:spacing w:val="-3"/>
        </w:rPr>
        <w:t>c</w:t>
      </w:r>
      <w:r w:rsidR="00AA6F17" w:rsidRPr="00AA6F17">
        <w:rPr>
          <w:spacing w:val="-3"/>
        </w:rPr>
        <w:t xml:space="preserve">ouncil </w:t>
      </w:r>
      <w:r w:rsidRPr="00AA6F17">
        <w:rPr>
          <w:spacing w:val="-3"/>
        </w:rPr>
        <w:t xml:space="preserve">and </w:t>
      </w:r>
      <w:r w:rsidR="00151B71" w:rsidRPr="00AA6F17">
        <w:rPr>
          <w:spacing w:val="-3"/>
        </w:rPr>
        <w:t>authority for topping-up sha</w:t>
      </w:r>
      <w:r w:rsidR="00AA6F17" w:rsidRPr="00AA6F17">
        <w:rPr>
          <w:spacing w:val="-3"/>
        </w:rPr>
        <w:t xml:space="preserve">ll be at the discretion of the </w:t>
      </w:r>
      <w:r w:rsidR="005E6074" w:rsidRPr="00AA6F17">
        <w:rPr>
          <w:spacing w:val="-3"/>
        </w:rPr>
        <w:t>c</w:t>
      </w:r>
      <w:r w:rsidR="00AA6F17" w:rsidRPr="00AA6F17">
        <w:rPr>
          <w:spacing w:val="-3"/>
        </w:rPr>
        <w:t>ouncil</w:t>
      </w:r>
      <w:r w:rsidR="00AA6F17">
        <w:rPr>
          <w:spacing w:val="-3"/>
        </w:rPr>
        <w:t>.</w:t>
      </w:r>
    </w:p>
    <w:p w:rsidR="00723830" w:rsidRPr="00AA6F17" w:rsidRDefault="00151B71" w:rsidP="002566FD">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AA6F17">
        <w:rPr>
          <w:spacing w:val="-3"/>
        </w:rPr>
        <w:t xml:space="preserve"> </w:t>
      </w:r>
      <w:r w:rsidR="00805102" w:rsidRPr="00AA6F17">
        <w:rPr>
          <w:spacing w:val="-3"/>
        </w:rPr>
        <w:t xml:space="preserve">Any </w:t>
      </w:r>
      <w:r w:rsidR="004B3FC7" w:rsidRPr="00AA6F17">
        <w:rPr>
          <w:spacing w:val="-3"/>
        </w:rPr>
        <w:t xml:space="preserve">corporate </w:t>
      </w:r>
      <w:r w:rsidR="00805102" w:rsidRPr="00AA6F17">
        <w:rPr>
          <w:spacing w:val="-3"/>
        </w:rPr>
        <w:t xml:space="preserve">credit card </w:t>
      </w:r>
      <w:r w:rsidR="00E57031" w:rsidRPr="00AA6F17">
        <w:rPr>
          <w:spacing w:val="-3"/>
        </w:rPr>
        <w:t xml:space="preserve">or trade card </w:t>
      </w:r>
      <w:r w:rsidR="00805102" w:rsidRPr="00AA6F17">
        <w:rPr>
          <w:spacing w:val="-3"/>
        </w:rPr>
        <w:t>accoun</w:t>
      </w:r>
      <w:r w:rsidR="00E57031" w:rsidRPr="00AA6F17">
        <w:rPr>
          <w:spacing w:val="-3"/>
        </w:rPr>
        <w:t>t opened by the c</w:t>
      </w:r>
      <w:r w:rsidR="00805102" w:rsidRPr="00AA6F17">
        <w:rPr>
          <w:spacing w:val="-3"/>
        </w:rPr>
        <w:t xml:space="preserve">ouncil will be specifically restricted to </w:t>
      </w:r>
      <w:r w:rsidR="004B3FC7" w:rsidRPr="00AA6F17">
        <w:rPr>
          <w:spacing w:val="-3"/>
        </w:rPr>
        <w:t xml:space="preserve">use by </w:t>
      </w:r>
      <w:r w:rsidR="00805102" w:rsidRPr="00AA6F17">
        <w:rPr>
          <w:spacing w:val="-3"/>
        </w:rPr>
        <w:t>the C</w:t>
      </w:r>
      <w:r w:rsidR="00AA6F17">
        <w:rPr>
          <w:spacing w:val="-3"/>
        </w:rPr>
        <w:t>lerk</w:t>
      </w:r>
      <w:r w:rsidR="00805102" w:rsidRPr="00AA6F17">
        <w:rPr>
          <w:spacing w:val="-3"/>
        </w:rPr>
        <w:t xml:space="preserve"> and shall be subject to </w:t>
      </w:r>
      <w:r w:rsidR="005E6074" w:rsidRPr="00AA6F17">
        <w:rPr>
          <w:spacing w:val="-3"/>
        </w:rPr>
        <w:t xml:space="preserve">automatic </w:t>
      </w:r>
      <w:r w:rsidR="00805102" w:rsidRPr="00AA6F17">
        <w:rPr>
          <w:spacing w:val="-3"/>
        </w:rPr>
        <w:t>payment in full at each month-end.</w:t>
      </w:r>
      <w:r w:rsidR="004B3FC7" w:rsidRPr="00AA6F17">
        <w:rPr>
          <w:spacing w:val="-3"/>
        </w:rPr>
        <w:t xml:space="preserve"> Personal credit or debit cards of members or staff</w:t>
      </w:r>
      <w:r w:rsidR="004C2EA1" w:rsidRPr="00AA6F17">
        <w:rPr>
          <w:spacing w:val="-3"/>
        </w:rPr>
        <w:t xml:space="preserve"> </w:t>
      </w:r>
      <w:r w:rsidR="004B3FC7" w:rsidRPr="00AA6F17">
        <w:rPr>
          <w:spacing w:val="-3"/>
        </w:rPr>
        <w:t>shall not be used under any circumstances.</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w:t>
      </w:r>
      <w:r w:rsidR="00AA6F17">
        <w:rPr>
          <w:spacing w:val="-3"/>
        </w:rPr>
        <w:t>ments made in cash by the Clerk</w:t>
      </w:r>
      <w:r w:rsidRPr="00411338">
        <w:rPr>
          <w:spacing w:val="-3"/>
        </w:rPr>
        <w:t xml:space="preserve"> (for example for postage or minor stationery items) shall be refunded on a regular basis, at least quarterly.</w:t>
      </w:r>
    </w:p>
    <w:p w:rsidR="00466F33" w:rsidRPr="00411338" w:rsidRDefault="00466F33" w:rsidP="00411338">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p>
    <w:p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AA6F17" w:rsidRDefault="00AA6F17"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F37D5A">
      <w:pPr>
        <w:pStyle w:val="Heading1111"/>
        <w:tabs>
          <w:tab w:val="clear" w:pos="567"/>
          <w:tab w:val="num" w:pos="851"/>
        </w:tabs>
        <w:spacing w:beforeLines="60" w:before="144" w:afterLines="60" w:after="144"/>
        <w:contextualSpacing w:val="0"/>
      </w:pPr>
      <w:bookmarkStart w:id="8" w:name="_Toc382305563"/>
      <w:bookmarkStart w:id="9" w:name="_Toc382309742"/>
      <w:r>
        <w:lastRenderedPageBreak/>
        <w:t>PAYMENT OF SALARIES</w:t>
      </w:r>
      <w:bookmarkEnd w:id="8"/>
      <w:bookmarkEnd w:id="9"/>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AA6F17">
        <w:rPr>
          <w:spacing w:val="-3"/>
        </w:rPr>
        <w:t xml:space="preserve">thout the prior consent of the </w:t>
      </w:r>
      <w:r w:rsidR="005E6074" w:rsidRPr="00411338">
        <w:rPr>
          <w:spacing w:val="-3"/>
        </w:rPr>
        <w:t>c</w:t>
      </w:r>
      <w:r w:rsidR="00AA6F17">
        <w:rPr>
          <w:spacing w:val="-3"/>
        </w:rPr>
        <w:t>ouncil</w:t>
      </w:r>
      <w:r w:rsidR="0066507C" w:rsidRPr="00411338">
        <w:rPr>
          <w:spacing w:val="-3"/>
        </w:rPr>
        <w:t>.</w:t>
      </w:r>
    </w:p>
    <w:p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AA6F17" w:rsidRDefault="00AA6F17"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AA6F17" w:rsidRDefault="00AA6F17"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AA6F17" w:rsidRDefault="00AA6F17"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3"/>
      <w:r w:rsidRPr="00411338">
        <w:lastRenderedPageBreak/>
        <w:t>LOANS AND INVESTMENTS</w:t>
      </w:r>
      <w:bookmarkEnd w:id="10"/>
    </w:p>
    <w:p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4"/>
      <w:r w:rsidRPr="00411338">
        <w:t>INCOME</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3" w:name="_Toc382309746"/>
      <w:r w:rsidRPr="00411338">
        <w:t>CONTRACTS</w:t>
      </w:r>
      <w:bookmarkEnd w:id="1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8B651B" w:rsidRPr="00810D1B" w:rsidRDefault="008B651B" w:rsidP="008B651B">
      <w:pPr>
        <w:numPr>
          <w:ilvl w:val="4"/>
          <w:numId w:val="66"/>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sidRPr="00810D1B">
        <w:rPr>
          <w:spacing w:val="-3"/>
        </w:rPr>
        <w:lastRenderedPageBreak/>
        <w:t>Every contract shall comply with these financial regulations, and no exceptions shall be made otherwise than in an emergency provided that this regulation need not apply to contracts which relate to items (</w:t>
      </w:r>
      <w:proofErr w:type="spellStart"/>
      <w:r w:rsidRPr="00810D1B">
        <w:rPr>
          <w:spacing w:val="-3"/>
        </w:rPr>
        <w:t>i</w:t>
      </w:r>
      <w:proofErr w:type="spellEnd"/>
      <w:r w:rsidRPr="00810D1B">
        <w:rPr>
          <w:spacing w:val="-3"/>
        </w:rPr>
        <w:t>) to (vi) below:</w:t>
      </w:r>
    </w:p>
    <w:p w:rsidR="008B651B" w:rsidRPr="00810D1B" w:rsidRDefault="008B651B" w:rsidP="008B651B">
      <w:pPr>
        <w:numPr>
          <w:ilvl w:val="5"/>
          <w:numId w:val="66"/>
        </w:numPr>
        <w:tabs>
          <w:tab w:val="left" w:pos="-1440"/>
          <w:tab w:val="left" w:pos="-720"/>
          <w:tab w:val="left" w:pos="0"/>
          <w:tab w:val="left" w:pos="1985"/>
        </w:tabs>
        <w:suppressAutoHyphens/>
        <w:spacing w:beforeLines="60" w:before="144" w:afterLines="60" w:after="144" w:line="276" w:lineRule="auto"/>
        <w:jc w:val="both"/>
        <w:rPr>
          <w:spacing w:val="-3"/>
        </w:rPr>
      </w:pPr>
      <w:r w:rsidRPr="00810D1B">
        <w:rPr>
          <w:spacing w:val="-3"/>
        </w:rPr>
        <w:t>for the supply of gas, electricity, water, sewerage and telephone services;</w:t>
      </w:r>
    </w:p>
    <w:p w:rsidR="008B651B" w:rsidRPr="00810D1B" w:rsidRDefault="008B651B" w:rsidP="008B651B">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810D1B">
        <w:rPr>
          <w:spacing w:val="-3"/>
        </w:rPr>
        <w:t>for specialist services such as are provided by solicitors, accountants, surveyors and planning consultants;</w:t>
      </w:r>
    </w:p>
    <w:p w:rsidR="008B651B" w:rsidRPr="00810D1B" w:rsidRDefault="008B651B" w:rsidP="008B651B">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810D1B">
        <w:rPr>
          <w:spacing w:val="-3"/>
        </w:rPr>
        <w:t>for work to be executed or goods or materials to be supplied which consist of repairs to or parts for existing machinery or equipment or plant;</w:t>
      </w:r>
    </w:p>
    <w:p w:rsidR="008B651B" w:rsidRPr="00810D1B" w:rsidRDefault="008B651B" w:rsidP="008B651B">
      <w:pPr>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jc w:val="both"/>
        <w:rPr>
          <w:spacing w:val="-3"/>
        </w:rPr>
      </w:pPr>
      <w:r w:rsidRPr="00810D1B">
        <w:rPr>
          <w:spacing w:val="-3"/>
        </w:rPr>
        <w:t>for work to be executed or goods or materials to be supplied which constitute an extension of an existing contract by the Council;</w:t>
      </w:r>
    </w:p>
    <w:p w:rsidR="008B651B" w:rsidRPr="00810D1B" w:rsidRDefault="008B651B" w:rsidP="008B651B">
      <w:pPr>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sidRPr="00810D1B">
        <w:rPr>
          <w:spacing w:val="-3"/>
        </w:rPr>
        <w:t>for additional audit work of the external Auditor up to an estimated value of £500 (in excess of this sum the Clerk and RFO shall act after consultation with the Chairman and Vice Chairman of council); and</w:t>
      </w:r>
    </w:p>
    <w:p w:rsidR="008B651B" w:rsidRPr="00810D1B" w:rsidRDefault="008B651B" w:rsidP="008B651B">
      <w:pPr>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sidRPr="00810D1B">
        <w:rPr>
          <w:spacing w:val="-3"/>
        </w:rPr>
        <w:t>for goods or materials proposed to be purchased which are proprietary articles and / or are only sold at a fixed price.</w:t>
      </w:r>
    </w:p>
    <w:p w:rsidR="008B651B" w:rsidRPr="00810D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t>The procurement and award of contracts for the supply of goods, materials, services and the execution of works with an estimated value in excess of £25,000 shall be covered by the Public C</w:t>
      </w:r>
      <w:r w:rsidR="00783E0B">
        <w:rPr>
          <w:spacing w:val="-3"/>
        </w:rPr>
        <w:t xml:space="preserve">ontracts Regulations 2015 </w:t>
      </w:r>
      <w:r w:rsidRPr="00810D1B">
        <w:rPr>
          <w:spacing w:val="-3"/>
        </w:rPr>
        <w:t>which include the use of the Contracts Finder website.  The tendering process for such contracts will make reference to the terms as laid out in the Bribery Act 2010.</w:t>
      </w:r>
    </w:p>
    <w:p w:rsidR="008B651B" w:rsidRPr="00810D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t>The 2015 Regulations are engaged where the value of a contract</w:t>
      </w:r>
      <w:r w:rsidR="00783E0B">
        <w:rPr>
          <w:spacing w:val="-3"/>
        </w:rPr>
        <w:t xml:space="preserve"> for </w:t>
      </w:r>
      <w:r w:rsidRPr="00810D1B">
        <w:rPr>
          <w:spacing w:val="-3"/>
        </w:rPr>
        <w:t xml:space="preserve">a) public works, public service or public supply contract with an estimated value of £25,000 or more and b) </w:t>
      </w:r>
      <w:proofErr w:type="spellStart"/>
      <w:r w:rsidRPr="00810D1B">
        <w:rPr>
          <w:spacing w:val="-3"/>
        </w:rPr>
        <w:t>i</w:t>
      </w:r>
      <w:proofErr w:type="spellEnd"/>
      <w:r w:rsidRPr="00810D1B">
        <w:rPr>
          <w:spacing w:val="-3"/>
        </w:rPr>
        <w:t xml:space="preserve">) a public works contract with an estimated value of </w:t>
      </w:r>
      <w:proofErr w:type="gramStart"/>
      <w:r w:rsidRPr="00810D1B">
        <w:rPr>
          <w:spacing w:val="-3"/>
        </w:rPr>
        <w:t>currently  £</w:t>
      </w:r>
      <w:proofErr w:type="gramEnd"/>
      <w:r w:rsidRPr="00810D1B">
        <w:rPr>
          <w:spacing w:val="-3"/>
        </w:rPr>
        <w:t>4,104,394 or more or ii) a public service or public supply contract with an estimated value of currently £164,176 or more.   The financial thresholds for proposed contracts in b) are set by the European Commission and are confirmed in the Public Contracts Directive 2014/24/EU.   The thresholds are adjusted every two years and usually take effect on 1 January.</w:t>
      </w:r>
    </w:p>
    <w:p w:rsidR="008B651B" w:rsidRPr="00810D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t>Any invitation to tender falling within or without the 2015 Regulations shall state the general nature of the intended contract and in the case</w:t>
      </w:r>
      <w:r w:rsidR="00783E0B">
        <w:rPr>
          <w:spacing w:val="-3"/>
        </w:rPr>
        <w:t xml:space="preserve"> of 2015 Regulations contracts </w:t>
      </w:r>
      <w:r w:rsidRPr="00810D1B">
        <w:rPr>
          <w:spacing w:val="-3"/>
        </w:rPr>
        <w:t>must make reference to the terms of the Bribery Act 2010.  The RFO shall obtain the necessary technical assistance to prepare a specification and the tender documentation where appropriate.  Invitations to tender shall require tenders to be returned addressed to the Clerk in the ordinary course of post and contained in a specifically marked envelope to be supplied by the Clerk.  Tenders thus sealed shall remain sealed until the prescribed date for opening tenders for that contract.</w:t>
      </w:r>
    </w:p>
    <w:p w:rsidR="008B651B" w:rsidRPr="00810D1B" w:rsidRDefault="008B651B" w:rsidP="008B651B">
      <w:pPr>
        <w:numPr>
          <w:ilvl w:val="1"/>
          <w:numId w:val="66"/>
        </w:numPr>
        <w:tabs>
          <w:tab w:val="left" w:pos="-1440"/>
          <w:tab w:val="left" w:pos="-720"/>
          <w:tab w:val="left" w:pos="0"/>
          <w:tab w:val="left" w:pos="1418"/>
        </w:tabs>
        <w:suppressAutoHyphens/>
        <w:spacing w:beforeLines="60" w:before="144" w:afterLines="60" w:after="144" w:line="276" w:lineRule="auto"/>
        <w:ind w:left="1211" w:hanging="589"/>
        <w:jc w:val="both"/>
        <w:rPr>
          <w:spacing w:val="-3"/>
        </w:rPr>
      </w:pPr>
      <w:r w:rsidRPr="00810D1B">
        <w:rPr>
          <w:spacing w:val="-3"/>
        </w:rPr>
        <w:lastRenderedPageBreak/>
        <w:t>All sealed tenders shall be opened at the same time on a prescribed date by the Clerk and at least one member of council, the tender prices being recorded for referral to the council for decision.</w:t>
      </w:r>
    </w:p>
    <w:p w:rsidR="008B651B" w:rsidRPr="00810D1B" w:rsidRDefault="008B651B" w:rsidP="008B651B">
      <w:pPr>
        <w:tabs>
          <w:tab w:val="left" w:pos="-1440"/>
          <w:tab w:val="left" w:pos="-720"/>
          <w:tab w:val="left" w:pos="0"/>
          <w:tab w:val="left" w:pos="1418"/>
        </w:tabs>
        <w:suppressAutoHyphens/>
        <w:spacing w:beforeLines="60" w:before="144" w:afterLines="60" w:after="144" w:line="276" w:lineRule="auto"/>
        <w:ind w:left="851"/>
        <w:jc w:val="both"/>
        <w:rPr>
          <w:spacing w:val="-3"/>
        </w:rPr>
      </w:pPr>
      <w:r w:rsidRPr="00810D1B">
        <w:rPr>
          <w:spacing w:val="-3"/>
        </w:rPr>
        <w:t xml:space="preserve"> </w:t>
      </w:r>
    </w:p>
    <w:p w:rsidR="008B651B" w:rsidRPr="00810D1B" w:rsidRDefault="008B651B" w:rsidP="00006F94">
      <w:pPr>
        <w:tabs>
          <w:tab w:val="left" w:pos="-1440"/>
          <w:tab w:val="left" w:pos="-720"/>
          <w:tab w:val="left" w:pos="0"/>
          <w:tab w:val="left" w:pos="1418"/>
        </w:tabs>
        <w:suppressAutoHyphens/>
        <w:spacing w:beforeLines="60" w:before="144" w:afterLines="60" w:after="144" w:line="276" w:lineRule="auto"/>
        <w:ind w:left="622"/>
        <w:jc w:val="both"/>
        <w:rPr>
          <w:spacing w:val="-3"/>
        </w:rPr>
      </w:pPr>
      <w:r w:rsidRPr="00810D1B">
        <w:rPr>
          <w:spacing w:val="-3"/>
        </w:rPr>
        <w:t>f.   Given the nature of its business, its assets and its size it is unlikely that the council will enter into substantive contracts for materials, services or the execution of works.  Mindful of securing value for money, council will determine if and when a formal tender process, as describe</w:t>
      </w:r>
      <w:r w:rsidR="00783E0B">
        <w:rPr>
          <w:spacing w:val="-3"/>
        </w:rPr>
        <w:t xml:space="preserve">d in Regulation 11.1 d. above, </w:t>
      </w:r>
      <w:r w:rsidRPr="00810D1B">
        <w:rPr>
          <w:spacing w:val="-3"/>
        </w:rPr>
        <w:t xml:space="preserve">should be applied.  As a guide, where a proposed contract represents more than two thirds in value of the current precept a formal tender process would normally be required subject to the exceptions listed at Regulation 11.1 a. above. </w:t>
      </w:r>
    </w:p>
    <w:p w:rsidR="008B651B" w:rsidRPr="00810D1B" w:rsidRDefault="008B651B" w:rsidP="008B651B">
      <w:pPr>
        <w:tabs>
          <w:tab w:val="left" w:pos="-1440"/>
          <w:tab w:val="left" w:pos="-720"/>
          <w:tab w:val="left" w:pos="0"/>
          <w:tab w:val="left" w:pos="1418"/>
        </w:tabs>
        <w:suppressAutoHyphens/>
        <w:spacing w:beforeLines="60" w:before="144" w:afterLines="60" w:after="144" w:line="276" w:lineRule="auto"/>
        <w:jc w:val="both"/>
        <w:rPr>
          <w:spacing w:val="-3"/>
        </w:rPr>
      </w:pPr>
    </w:p>
    <w:p w:rsidR="008B651B" w:rsidRPr="00810D1B" w:rsidRDefault="008B651B" w:rsidP="000C6A64">
      <w:pPr>
        <w:tabs>
          <w:tab w:val="left" w:pos="-1440"/>
          <w:tab w:val="left" w:pos="-720"/>
          <w:tab w:val="left" w:pos="0"/>
          <w:tab w:val="left" w:pos="1418"/>
        </w:tabs>
        <w:suppressAutoHyphens/>
        <w:spacing w:beforeLines="60" w:before="144" w:afterLines="60" w:after="144" w:line="276" w:lineRule="auto"/>
        <w:ind w:left="720"/>
        <w:jc w:val="both"/>
        <w:rPr>
          <w:spacing w:val="-3"/>
        </w:rPr>
      </w:pPr>
      <w:r w:rsidRPr="00810D1B">
        <w:rPr>
          <w:spacing w:val="-3"/>
        </w:rPr>
        <w:t xml:space="preserve">g.   Where a formal tender process is not required and where the council is to enter into a contract for more than £500 in value for the supply of goods or materials, for the execution of works or specialist services not subject to the exceptions listed in Regulation 11.1 a. </w:t>
      </w:r>
      <w:proofErr w:type="gramStart"/>
      <w:r w:rsidRPr="00810D1B">
        <w:rPr>
          <w:spacing w:val="-3"/>
        </w:rPr>
        <w:t>above ,</w:t>
      </w:r>
      <w:proofErr w:type="gramEnd"/>
      <w:r w:rsidRPr="00810D1B">
        <w:rPr>
          <w:spacing w:val="-3"/>
        </w:rPr>
        <w:t xml:space="preserve"> the Clerk shall obtain three quotations (priced descriptions of the proposed purchase). Where the value is below £500 every attempt shall be made to obtain three estimates. Otherwise, Regulation 10 (3) above shall apply.   (Note:  Quotation is a formal statement of the estimated cost of a job or service.   Estimate is a written statement indicating the likely price that will be charged for a specific work or service.)</w:t>
      </w:r>
    </w:p>
    <w:p w:rsidR="00783E0B" w:rsidRPr="00A21C86" w:rsidRDefault="008B651B" w:rsidP="00783E0B">
      <w:pPr>
        <w:pStyle w:val="Heading2"/>
        <w:ind w:left="720"/>
        <w:rPr>
          <w:b w:val="0"/>
        </w:rPr>
      </w:pPr>
      <w:r w:rsidRPr="00A21C86">
        <w:rPr>
          <w:b w:val="0"/>
        </w:rPr>
        <w:t>h.    The council shall not be obliged to accept the lowest or any tender, quotation</w:t>
      </w:r>
      <w:r w:rsidR="00783E0B" w:rsidRPr="00A21C86">
        <w:rPr>
          <w:b w:val="0"/>
        </w:rPr>
        <w:t xml:space="preserve"> or estimate.</w:t>
      </w:r>
    </w:p>
    <w:p w:rsidR="008B651B" w:rsidRPr="00810D1B" w:rsidRDefault="008B651B" w:rsidP="008B651B">
      <w:pPr>
        <w:pStyle w:val="BodyTextIndent2"/>
        <w:tabs>
          <w:tab w:val="clear" w:pos="0"/>
          <w:tab w:val="clear" w:pos="1080"/>
          <w:tab w:val="clear" w:pos="1440"/>
        </w:tabs>
        <w:spacing w:beforeLines="60" w:before="144" w:afterLines="60" w:after="144" w:line="276" w:lineRule="auto"/>
        <w:ind w:left="720" w:firstLine="0"/>
      </w:pPr>
      <w:proofErr w:type="spellStart"/>
      <w:r w:rsidRPr="00810D1B">
        <w:t>i</w:t>
      </w:r>
      <w:proofErr w:type="spellEnd"/>
      <w:r w:rsidRPr="00810D1B">
        <w:t xml:space="preserve">.   Should any submitted tender, quotation or estimate not be </w:t>
      </w:r>
      <w:r w:rsidR="00A21C86">
        <w:t xml:space="preserve">acceptable and further pricing </w:t>
      </w:r>
      <w:r w:rsidRPr="00810D1B">
        <w:t xml:space="preserve">be </w:t>
      </w:r>
      <w:proofErr w:type="gramStart"/>
      <w:r w:rsidRPr="00810D1B">
        <w:t>required,  provided</w:t>
      </w:r>
      <w:proofErr w:type="gramEnd"/>
      <w:r w:rsidRPr="00810D1B">
        <w:t xml:space="preserve"> that the specification does not change, no person shall be permitted to submit a later tender, quotation or estimate who was present when the original decision was made.</w:t>
      </w:r>
    </w:p>
    <w:p w:rsidR="008B651B" w:rsidRPr="00810D1B" w:rsidRDefault="008B651B" w:rsidP="008B651B">
      <w:pPr>
        <w:pStyle w:val="BodyTextIndent2"/>
        <w:tabs>
          <w:tab w:val="clear" w:pos="0"/>
          <w:tab w:val="clear" w:pos="1080"/>
          <w:tab w:val="clear" w:pos="1440"/>
        </w:tabs>
        <w:spacing w:beforeLines="60" w:before="144" w:afterLines="60" w:after="144" w:line="276" w:lineRule="auto"/>
        <w:ind w:left="720" w:firstLine="0"/>
      </w:pPr>
      <w:r w:rsidRPr="00810D1B">
        <w:t xml:space="preserve">j.   Where it is intended to waive financial regulations relating to contracts to enable a price to be negotiated without competition the reason for the recommendation and the decision of council is to be recorded as a resolution in the minutes of the council meeting concerned. </w:t>
      </w:r>
    </w:p>
    <w:p w:rsidR="008B651B" w:rsidRPr="00810D1B" w:rsidRDefault="008B651B" w:rsidP="008B651B">
      <w:pPr>
        <w:pStyle w:val="BodyTextIndent2"/>
        <w:tabs>
          <w:tab w:val="clear" w:pos="0"/>
          <w:tab w:val="clear" w:pos="1080"/>
          <w:tab w:val="clear" w:pos="1440"/>
        </w:tabs>
        <w:spacing w:beforeLines="60" w:before="144" w:afterLines="60" w:after="144" w:line="276" w:lineRule="auto"/>
        <w:ind w:left="720" w:firstLine="0"/>
      </w:pPr>
    </w:p>
    <w:p w:rsidR="008B651B" w:rsidRPr="00810D1B" w:rsidRDefault="008B651B" w:rsidP="008B651B">
      <w:pPr>
        <w:pStyle w:val="Heading1111"/>
        <w:spacing w:beforeLines="60" w:before="144" w:afterLines="60" w:after="144"/>
        <w:ind w:left="567" w:hanging="567"/>
        <w:contextualSpacing w:val="0"/>
      </w:pPr>
      <w:r w:rsidRPr="00810D1B">
        <w:t>PAYMENTS UNDER CONTRACTS FOR BUILDING OR OTHER CONSTRUCTION WORKS</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Payments on account of the contract sum shall be made within the time specified in the contract by the RFO upon authorised certificates of the architect or other consultants enga</w:t>
      </w:r>
      <w:r w:rsidR="00A21C86">
        <w:rPr>
          <w:spacing w:val="-3"/>
        </w:rPr>
        <w:t>ged to supervise the contract (</w:t>
      </w:r>
      <w:r w:rsidRPr="00810D1B">
        <w:rPr>
          <w:spacing w:val="-3"/>
        </w:rPr>
        <w:t>subject to any percentage withholding as may be agreed in the particular contract.</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lastRenderedPageBreak/>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Any variation to a contract or addition to or omission from a contract must be approved by the council and Clerk to the contractor in writing, the council being informed where the final cost is likely to exceed the financial provision.</w:t>
      </w:r>
    </w:p>
    <w:p w:rsidR="008B651B" w:rsidRPr="00810D1B" w:rsidRDefault="008B651B" w:rsidP="008B651B">
      <w:pPr>
        <w:pStyle w:val="Heading1111"/>
        <w:spacing w:beforeLines="60" w:before="144" w:afterLines="60" w:after="144"/>
        <w:ind w:left="567" w:hanging="567"/>
        <w:contextualSpacing w:val="0"/>
      </w:pPr>
      <w:r w:rsidRPr="00810D1B">
        <w:t>STORES AND EQUIPMENT</w:t>
      </w:r>
    </w:p>
    <w:p w:rsidR="008B651B" w:rsidRPr="00810D1B" w:rsidRDefault="008B651B" w:rsidP="008B651B">
      <w:pPr>
        <w:pStyle w:val="BodyText"/>
        <w:numPr>
          <w:ilvl w:val="1"/>
          <w:numId w:val="45"/>
        </w:numPr>
        <w:tabs>
          <w:tab w:val="clear" w:pos="1080"/>
          <w:tab w:val="clear" w:pos="1440"/>
        </w:tabs>
        <w:spacing w:beforeLines="60" w:before="144" w:afterLines="60" w:after="144" w:line="276" w:lineRule="auto"/>
      </w:pPr>
      <w:r w:rsidRPr="00810D1B">
        <w:t>Vacant</w:t>
      </w:r>
    </w:p>
    <w:p w:rsidR="008B651B" w:rsidRPr="00810D1B" w:rsidRDefault="008B651B" w:rsidP="008B651B">
      <w:pPr>
        <w:pStyle w:val="Heading1111"/>
        <w:spacing w:beforeLines="60" w:before="144" w:afterLines="60" w:after="144"/>
        <w:ind w:left="567" w:hanging="567"/>
        <w:contextualSpacing w:val="0"/>
      </w:pPr>
      <w:r w:rsidRPr="00810D1B">
        <w:t>ASSETS, PROPERTIES AND ESTATES</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8B651B" w:rsidRPr="00810D1B" w:rsidRDefault="008B651B" w:rsidP="008B651B">
      <w:pPr>
        <w:pStyle w:val="BodyTextIndent"/>
        <w:numPr>
          <w:ilvl w:val="1"/>
          <w:numId w:val="45"/>
        </w:numPr>
        <w:spacing w:beforeLines="60" w:before="144" w:afterLines="60" w:after="144" w:line="276" w:lineRule="auto"/>
      </w:pPr>
      <w:r w:rsidRPr="00810D1B">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£100.</w:t>
      </w:r>
    </w:p>
    <w:p w:rsidR="008B651B" w:rsidRPr="00810D1B" w:rsidRDefault="008B651B" w:rsidP="008B651B">
      <w:pPr>
        <w:pStyle w:val="BodyTextIndent"/>
        <w:numPr>
          <w:ilvl w:val="1"/>
          <w:numId w:val="45"/>
        </w:numPr>
        <w:spacing w:beforeLines="60" w:before="144" w:afterLines="60" w:after="144" w:line="276" w:lineRule="auto"/>
      </w:pPr>
      <w:r w:rsidRPr="00810D1B">
        <w:t xml:space="preserve">No real property (interests in land) shall be sold, leased or otherwise disposed of without the authority of the council, together with any other consents required by law, </w:t>
      </w:r>
      <w:proofErr w:type="gramStart"/>
      <w:r w:rsidRPr="00810D1B">
        <w:t>In</w:t>
      </w:r>
      <w:proofErr w:type="gramEnd"/>
      <w:r w:rsidRPr="00810D1B">
        <w:t xml:space="preserve">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8B651B" w:rsidRPr="00810D1B" w:rsidRDefault="008B651B" w:rsidP="008B651B">
      <w:pPr>
        <w:pStyle w:val="BodyTextIndent"/>
        <w:numPr>
          <w:ilvl w:val="1"/>
          <w:numId w:val="45"/>
        </w:numPr>
        <w:spacing w:beforeLines="60" w:before="144" w:afterLines="60" w:after="144" w:line="276" w:lineRule="auto"/>
      </w:pPr>
      <w:r w:rsidRPr="00810D1B">
        <w:t>No real property (interests in land) shall be purchased or acquired without the authority of the full council. In each case a Report in writing shall be provided to council in respect of valuation and surveyed condition of the property (including matters such as plann</w:t>
      </w:r>
      <w:r w:rsidR="00A21C86">
        <w:t xml:space="preserve">ing permissions and covenants) </w:t>
      </w:r>
      <w:r w:rsidRPr="00810D1B">
        <w:t>together with a proper business case (including an adequate level of consultation with the electorate).</w:t>
      </w:r>
    </w:p>
    <w:p w:rsidR="008B651B" w:rsidRPr="00810D1B" w:rsidRDefault="008B651B" w:rsidP="008B651B">
      <w:pPr>
        <w:pStyle w:val="BodyTextIndent"/>
        <w:numPr>
          <w:ilvl w:val="1"/>
          <w:numId w:val="45"/>
        </w:numPr>
        <w:spacing w:beforeLines="60" w:before="144" w:afterLines="60" w:after="144" w:line="276" w:lineRule="auto"/>
      </w:pPr>
      <w:r w:rsidRPr="00810D1B">
        <w:t>Subject only to the limit set in Reg. 14.2 above, no tangible moveable property shall be purchased or acquired without the authority of the full council. In each case a Report in writing shall be provided to council with a full business case.</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8B651B" w:rsidRPr="00810D1B" w:rsidRDefault="008B651B" w:rsidP="008B651B">
      <w:pPr>
        <w:pStyle w:val="Heading1111"/>
        <w:spacing w:beforeLines="60" w:before="144" w:afterLines="60" w:after="144"/>
        <w:ind w:left="567" w:hanging="567"/>
        <w:contextualSpacing w:val="0"/>
      </w:pPr>
      <w:r w:rsidRPr="00810D1B">
        <w:t>INSURANCE</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lastRenderedPageBreak/>
        <w:t xml:space="preserve">Following the annual risk assessment (per Financial Regulation 17), the RFO shall </w:t>
      </w:r>
      <w:proofErr w:type="gramStart"/>
      <w:r w:rsidRPr="00810D1B">
        <w:rPr>
          <w:spacing w:val="-3"/>
        </w:rPr>
        <w:t>effect</w:t>
      </w:r>
      <w:proofErr w:type="gramEnd"/>
      <w:r w:rsidRPr="00810D1B">
        <w:rPr>
          <w:spacing w:val="-3"/>
        </w:rPr>
        <w:t xml:space="preserve"> all insurances and negotiate all c</w:t>
      </w:r>
      <w:r w:rsidR="00A21C86">
        <w:rPr>
          <w:spacing w:val="-3"/>
        </w:rPr>
        <w:t>laims on the council's insurers</w:t>
      </w:r>
      <w:r w:rsidRPr="00810D1B">
        <w:rPr>
          <w:spacing w:val="-3"/>
        </w:rPr>
        <w:t>.</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Clerk, where not acting as the RFO, shall give prompt notification to the RFO of all new risks, properties or vehicles which require to be insured and of any alterations affecting existing insurances.</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RFO shall keep a record of all insurances effected by the council and the property and risks covered thereby and annually review it.</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RFO shall be notified of any loss liability or damage or of any event likely to lead to a claim, and shall report these to council at the next available meeting.</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All appropriate members and employees of the council shall be included in a suitable form of security or fidelity guarantee insurance which shall cover the maximum risk exposure as determined annually by the council, or duly delegated committee.</w:t>
      </w:r>
    </w:p>
    <w:p w:rsidR="008B651B" w:rsidRPr="00A21C86" w:rsidRDefault="008B651B" w:rsidP="00A21C86">
      <w:pPr>
        <w:pStyle w:val="Heading1111"/>
        <w:spacing w:beforeLines="60" w:before="144" w:afterLines="60" w:after="144"/>
        <w:ind w:left="567" w:hanging="567"/>
        <w:contextualSpacing w:val="0"/>
      </w:pPr>
      <w:r w:rsidRPr="00810D1B">
        <w:t>CHARITIES</w:t>
      </w:r>
    </w:p>
    <w:p w:rsidR="008B651B" w:rsidRPr="00810D1B" w:rsidRDefault="008B651B" w:rsidP="008B651B">
      <w:pPr>
        <w:numPr>
          <w:ilvl w:val="1"/>
          <w:numId w:val="45"/>
        </w:numPr>
        <w:tabs>
          <w:tab w:val="left" w:pos="-1440"/>
          <w:tab w:val="left" w:pos="-720"/>
          <w:tab w:val="left" w:pos="1080"/>
          <w:tab w:val="left" w:pos="1134"/>
          <w:tab w:val="left" w:pos="1440"/>
        </w:tabs>
        <w:suppressAutoHyphens/>
        <w:spacing w:beforeLines="60" w:before="144" w:afterLines="60" w:after="144" w:line="276" w:lineRule="auto"/>
        <w:jc w:val="both"/>
        <w:rPr>
          <w:spacing w:val="-3"/>
        </w:rPr>
      </w:pPr>
      <w:r w:rsidRPr="00810D1B">
        <w:rPr>
          <w:spacing w:val="-3"/>
        </w:rPr>
        <w:t>Vacant</w:t>
      </w:r>
    </w:p>
    <w:p w:rsidR="008B651B" w:rsidRPr="00810D1B" w:rsidRDefault="008B651B" w:rsidP="008B651B">
      <w:pPr>
        <w:pStyle w:val="Heading1111"/>
        <w:spacing w:beforeLines="60" w:before="144" w:afterLines="60" w:after="144"/>
        <w:ind w:left="567" w:hanging="567"/>
        <w:contextualSpacing w:val="0"/>
      </w:pPr>
      <w:r w:rsidRPr="00810D1B">
        <w:t>RISK MANAGEMENT</w:t>
      </w:r>
    </w:p>
    <w:p w:rsidR="008B651B" w:rsidRPr="00810D1B" w:rsidRDefault="008B651B" w:rsidP="008B651B">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810D1B">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8B651B" w:rsidRPr="00810D1B" w:rsidRDefault="008B651B" w:rsidP="008B651B">
      <w:pPr>
        <w:numPr>
          <w:ilvl w:val="1"/>
          <w:numId w:val="45"/>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sidRPr="00810D1B">
        <w:rPr>
          <w:spacing w:val="-3"/>
        </w:rPr>
        <w:t>When consideri</w:t>
      </w:r>
      <w:r w:rsidR="00A21C86">
        <w:rPr>
          <w:spacing w:val="-3"/>
        </w:rPr>
        <w:t xml:space="preserve">ng any new activity, the Clerk </w:t>
      </w:r>
      <w:r w:rsidRPr="00810D1B">
        <w:rPr>
          <w:spacing w:val="-3"/>
        </w:rPr>
        <w:t xml:space="preserve">shall prepare a draft risk assessment including risk management proposals for consideration and adoption by the council. </w:t>
      </w:r>
    </w:p>
    <w:p w:rsidR="008B651B" w:rsidRPr="00810D1B" w:rsidRDefault="008B651B" w:rsidP="008B651B">
      <w:pPr>
        <w:pStyle w:val="Heading1111"/>
        <w:spacing w:beforeLines="60" w:before="144" w:afterLines="60" w:after="144"/>
        <w:ind w:left="567" w:hanging="567"/>
        <w:contextualSpacing w:val="0"/>
      </w:pPr>
      <w:r w:rsidRPr="00810D1B">
        <w:t>SUSPENSION AND REVISION OF FINANCIAL REGULATIONS</w:t>
      </w:r>
    </w:p>
    <w:p w:rsidR="008B651B" w:rsidRPr="00810D1B" w:rsidRDefault="008B651B" w:rsidP="008B651B">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810D1B">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8B651B" w:rsidRPr="00594289" w:rsidRDefault="008B651B" w:rsidP="00594289">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810D1B">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8B651B" w:rsidRPr="00594289" w:rsidSect="00411338">
      <w:headerReference w:type="default" r:id="rId8"/>
      <w:footerReference w:type="default" r:id="rId9"/>
      <w:head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27" w:rsidRDefault="00125B27">
      <w:r>
        <w:separator/>
      </w:r>
    </w:p>
  </w:endnote>
  <w:endnote w:type="continuationSeparator" w:id="0">
    <w:p w:rsidR="00125B27" w:rsidRDefault="0012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EF34D8">
      <w:rPr>
        <w:noProof/>
        <w:spacing w:val="-3"/>
        <w:sz w:val="18"/>
        <w:szCs w:val="18"/>
      </w:rPr>
      <w:t>18</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EF34D8">
      <w:rPr>
        <w:noProof/>
        <w:spacing w:val="-3"/>
        <w:sz w:val="18"/>
        <w:szCs w:val="18"/>
      </w:rPr>
      <w:t>18</w:t>
    </w:r>
    <w:r w:rsidR="008C4629" w:rsidRPr="00D77A22">
      <w:rPr>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27" w:rsidRDefault="00125B27">
      <w:r>
        <w:separator/>
      </w:r>
    </w:p>
  </w:footnote>
  <w:footnote w:type="continuationSeparator" w:id="0">
    <w:p w:rsidR="00125B27" w:rsidRDefault="00125B27">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b/>
        <w:bCs/>
        <w:sz w:val="22"/>
      </w:rPr>
    </w:pPr>
    <w:r>
      <w:rPr>
        <w:b/>
        <w:bCs/>
        <w:sz w:val="22"/>
      </w:rPr>
      <w:t>THE NATIONAL ASSOCIATION OF LOCAL COUNCILS</w:t>
    </w:r>
  </w:p>
  <w:p w:rsidR="0099662F" w:rsidRDefault="00D77A2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B44365"/>
    <w:multiLevelType w:val="hybridMultilevel"/>
    <w:tmpl w:val="93F24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90E351E"/>
    <w:multiLevelType w:val="hybridMultilevel"/>
    <w:tmpl w:val="0EDA3A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236287"/>
    <w:multiLevelType w:val="hybridMultilevel"/>
    <w:tmpl w:val="34C4A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3"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6"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8"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0"/>
  </w:num>
  <w:num w:numId="3">
    <w:abstractNumId w:val="12"/>
  </w:num>
  <w:num w:numId="4">
    <w:abstractNumId w:val="66"/>
  </w:num>
  <w:num w:numId="5">
    <w:abstractNumId w:val="28"/>
  </w:num>
  <w:num w:numId="6">
    <w:abstractNumId w:val="7"/>
  </w:num>
  <w:num w:numId="7">
    <w:abstractNumId w:val="65"/>
  </w:num>
  <w:num w:numId="8">
    <w:abstractNumId w:val="24"/>
  </w:num>
  <w:num w:numId="9">
    <w:abstractNumId w:val="30"/>
  </w:num>
  <w:num w:numId="10">
    <w:abstractNumId w:val="21"/>
  </w:num>
  <w:num w:numId="11">
    <w:abstractNumId w:val="44"/>
  </w:num>
  <w:num w:numId="12">
    <w:abstractNumId w:val="51"/>
  </w:num>
  <w:num w:numId="13">
    <w:abstractNumId w:val="48"/>
  </w:num>
  <w:num w:numId="14">
    <w:abstractNumId w:val="27"/>
  </w:num>
  <w:num w:numId="15">
    <w:abstractNumId w:val="60"/>
  </w:num>
  <w:num w:numId="16">
    <w:abstractNumId w:val="39"/>
  </w:num>
  <w:num w:numId="17">
    <w:abstractNumId w:val="10"/>
  </w:num>
  <w:num w:numId="18">
    <w:abstractNumId w:val="19"/>
  </w:num>
  <w:num w:numId="19">
    <w:abstractNumId w:val="37"/>
  </w:num>
  <w:num w:numId="20">
    <w:abstractNumId w:val="16"/>
  </w:num>
  <w:num w:numId="21">
    <w:abstractNumId w:val="69"/>
  </w:num>
  <w:num w:numId="22">
    <w:abstractNumId w:val="5"/>
  </w:num>
  <w:num w:numId="23">
    <w:abstractNumId w:val="68"/>
  </w:num>
  <w:num w:numId="24">
    <w:abstractNumId w:val="45"/>
  </w:num>
  <w:num w:numId="25">
    <w:abstractNumId w:val="52"/>
  </w:num>
  <w:num w:numId="26">
    <w:abstractNumId w:val="1"/>
  </w:num>
  <w:num w:numId="27">
    <w:abstractNumId w:val="67"/>
  </w:num>
  <w:num w:numId="28">
    <w:abstractNumId w:val="20"/>
  </w:num>
  <w:num w:numId="29">
    <w:abstractNumId w:val="42"/>
  </w:num>
  <w:num w:numId="30">
    <w:abstractNumId w:val="33"/>
  </w:num>
  <w:num w:numId="31">
    <w:abstractNumId w:val="17"/>
  </w:num>
  <w:num w:numId="32">
    <w:abstractNumId w:val="61"/>
  </w:num>
  <w:num w:numId="33">
    <w:abstractNumId w:val="62"/>
  </w:num>
  <w:num w:numId="34">
    <w:abstractNumId w:val="13"/>
  </w:num>
  <w:num w:numId="35">
    <w:abstractNumId w:val="9"/>
  </w:num>
  <w:num w:numId="36">
    <w:abstractNumId w:val="31"/>
  </w:num>
  <w:num w:numId="37">
    <w:abstractNumId w:val="15"/>
  </w:num>
  <w:num w:numId="38">
    <w:abstractNumId w:val="14"/>
  </w:num>
  <w:num w:numId="39">
    <w:abstractNumId w:val="55"/>
  </w:num>
  <w:num w:numId="40">
    <w:abstractNumId w:val="10"/>
  </w:num>
  <w:num w:numId="41">
    <w:abstractNumId w:val="49"/>
  </w:num>
  <w:num w:numId="42">
    <w:abstractNumId w:val="2"/>
  </w:num>
  <w:num w:numId="43">
    <w:abstractNumId w:val="8"/>
  </w:num>
  <w:num w:numId="44">
    <w:abstractNumId w:val="38"/>
  </w:num>
  <w:num w:numId="45">
    <w:abstractNumId w:val="34"/>
  </w:num>
  <w:num w:numId="46">
    <w:abstractNumId w:val="58"/>
  </w:num>
  <w:num w:numId="47">
    <w:abstractNumId w:val="25"/>
  </w:num>
  <w:num w:numId="48">
    <w:abstractNumId w:val="4"/>
  </w:num>
  <w:num w:numId="49">
    <w:abstractNumId w:val="22"/>
  </w:num>
  <w:num w:numId="50">
    <w:abstractNumId w:val="29"/>
  </w:num>
  <w:num w:numId="51">
    <w:abstractNumId w:val="11"/>
  </w:num>
  <w:num w:numId="52">
    <w:abstractNumId w:val="53"/>
  </w:num>
  <w:num w:numId="53">
    <w:abstractNumId w:val="23"/>
  </w:num>
  <w:num w:numId="54">
    <w:abstractNumId w:val="32"/>
  </w:num>
  <w:num w:numId="55">
    <w:abstractNumId w:val="3"/>
  </w:num>
  <w:num w:numId="56">
    <w:abstractNumId w:val="50"/>
  </w:num>
  <w:num w:numId="57">
    <w:abstractNumId w:val="6"/>
  </w:num>
  <w:num w:numId="58">
    <w:abstractNumId w:val="56"/>
  </w:num>
  <w:num w:numId="59">
    <w:abstractNumId w:val="18"/>
  </w:num>
  <w:num w:numId="60">
    <w:abstractNumId w:val="59"/>
  </w:num>
  <w:num w:numId="61">
    <w:abstractNumId w:val="64"/>
  </w:num>
  <w:num w:numId="62">
    <w:abstractNumId w:val="36"/>
  </w:num>
  <w:num w:numId="63">
    <w:abstractNumId w:val="63"/>
  </w:num>
  <w:num w:numId="64">
    <w:abstractNumId w:val="40"/>
  </w:num>
  <w:num w:numId="65">
    <w:abstractNumId w:val="41"/>
  </w:num>
  <w:num w:numId="66">
    <w:abstractNumId w:val="57"/>
  </w:num>
  <w:num w:numId="67">
    <w:abstractNumId w:val="43"/>
  </w:num>
  <w:num w:numId="68">
    <w:abstractNumId w:val="54"/>
  </w:num>
  <w:num w:numId="69">
    <w:abstractNumId w:val="26"/>
  </w:num>
  <w:num w:numId="70">
    <w:abstractNumId w:val="47"/>
  </w:num>
  <w:num w:numId="7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06F94"/>
    <w:rsid w:val="00036BF1"/>
    <w:rsid w:val="00041AF7"/>
    <w:rsid w:val="000432B9"/>
    <w:rsid w:val="0004558E"/>
    <w:rsid w:val="000504D7"/>
    <w:rsid w:val="000514DD"/>
    <w:rsid w:val="00054656"/>
    <w:rsid w:val="000574BC"/>
    <w:rsid w:val="00073E71"/>
    <w:rsid w:val="00076AC9"/>
    <w:rsid w:val="00081C47"/>
    <w:rsid w:val="000846CB"/>
    <w:rsid w:val="000A277A"/>
    <w:rsid w:val="000B0129"/>
    <w:rsid w:val="000B0B55"/>
    <w:rsid w:val="000C07E1"/>
    <w:rsid w:val="000C6A64"/>
    <w:rsid w:val="000E0B1D"/>
    <w:rsid w:val="000E66D3"/>
    <w:rsid w:val="000F26E7"/>
    <w:rsid w:val="000F6225"/>
    <w:rsid w:val="001077EE"/>
    <w:rsid w:val="00113070"/>
    <w:rsid w:val="00117FFE"/>
    <w:rsid w:val="001208DB"/>
    <w:rsid w:val="00125B27"/>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061EA"/>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167D5"/>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1A70"/>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4289"/>
    <w:rsid w:val="00597AEA"/>
    <w:rsid w:val="005A6DD2"/>
    <w:rsid w:val="005B3F67"/>
    <w:rsid w:val="005C0C63"/>
    <w:rsid w:val="005E1185"/>
    <w:rsid w:val="005E12C6"/>
    <w:rsid w:val="005E42AB"/>
    <w:rsid w:val="005E6074"/>
    <w:rsid w:val="005E6D7B"/>
    <w:rsid w:val="005E7918"/>
    <w:rsid w:val="00604C80"/>
    <w:rsid w:val="00614A0F"/>
    <w:rsid w:val="006216AD"/>
    <w:rsid w:val="00626F57"/>
    <w:rsid w:val="006304AB"/>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82350"/>
    <w:rsid w:val="00783E0B"/>
    <w:rsid w:val="00795AF6"/>
    <w:rsid w:val="007A4DD9"/>
    <w:rsid w:val="007A798C"/>
    <w:rsid w:val="007C3F14"/>
    <w:rsid w:val="007E3103"/>
    <w:rsid w:val="007E52C7"/>
    <w:rsid w:val="007F11E3"/>
    <w:rsid w:val="007F1A82"/>
    <w:rsid w:val="00805102"/>
    <w:rsid w:val="0080641F"/>
    <w:rsid w:val="00815DC1"/>
    <w:rsid w:val="0082171C"/>
    <w:rsid w:val="00843614"/>
    <w:rsid w:val="00865C34"/>
    <w:rsid w:val="00871EA3"/>
    <w:rsid w:val="00872C57"/>
    <w:rsid w:val="00883CDB"/>
    <w:rsid w:val="00886347"/>
    <w:rsid w:val="00892710"/>
    <w:rsid w:val="00894B1A"/>
    <w:rsid w:val="008A0F62"/>
    <w:rsid w:val="008A50ED"/>
    <w:rsid w:val="008B382E"/>
    <w:rsid w:val="008B5E50"/>
    <w:rsid w:val="008B651B"/>
    <w:rsid w:val="008C4629"/>
    <w:rsid w:val="008C5910"/>
    <w:rsid w:val="008C76D1"/>
    <w:rsid w:val="008D48FE"/>
    <w:rsid w:val="008D777E"/>
    <w:rsid w:val="008E23E7"/>
    <w:rsid w:val="008E5736"/>
    <w:rsid w:val="008E5F81"/>
    <w:rsid w:val="0090340D"/>
    <w:rsid w:val="00904DDB"/>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1C86"/>
    <w:rsid w:val="00A26F56"/>
    <w:rsid w:val="00A2756B"/>
    <w:rsid w:val="00A276CD"/>
    <w:rsid w:val="00A432F6"/>
    <w:rsid w:val="00A5744A"/>
    <w:rsid w:val="00A70BA8"/>
    <w:rsid w:val="00A82F98"/>
    <w:rsid w:val="00A9342A"/>
    <w:rsid w:val="00AA28F7"/>
    <w:rsid w:val="00AA52E5"/>
    <w:rsid w:val="00AA6F17"/>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2E60"/>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1314"/>
    <w:rsid w:val="00E3580A"/>
    <w:rsid w:val="00E400DF"/>
    <w:rsid w:val="00E534A2"/>
    <w:rsid w:val="00E57031"/>
    <w:rsid w:val="00E616D5"/>
    <w:rsid w:val="00E633AF"/>
    <w:rsid w:val="00E6733B"/>
    <w:rsid w:val="00E75E30"/>
    <w:rsid w:val="00E8116E"/>
    <w:rsid w:val="00E93574"/>
    <w:rsid w:val="00EA04E4"/>
    <w:rsid w:val="00EB2BE4"/>
    <w:rsid w:val="00EB55CE"/>
    <w:rsid w:val="00EE4E77"/>
    <w:rsid w:val="00EE55C0"/>
    <w:rsid w:val="00EF34D8"/>
    <w:rsid w:val="00EF36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05DFF"/>
  <w15:docId w15:val="{091BA9EF-3D64-4FF5-B48E-742D3046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character" w:customStyle="1" w:styleId="MediumGrid1-Accent2Char">
    <w:name w:val="Medium Grid 1 - Accent 2 Char"/>
    <w:link w:val="MediumGrid1-Accent2"/>
    <w:uiPriority w:val="34"/>
    <w:rsid w:val="00E31314"/>
    <w:rPr>
      <w:rFonts w:ascii="Arial" w:eastAsia="Times New Roman" w:hAnsi="Arial" w:cs="Times New Roman"/>
      <w:lang w:val="x-none"/>
    </w:rPr>
  </w:style>
  <w:style w:type="table" w:styleId="MediumGrid1-Accent2">
    <w:name w:val="Medium Grid 1 Accent 2"/>
    <w:basedOn w:val="TableNormal"/>
    <w:link w:val="MediumGrid1-Accent2Char"/>
    <w:uiPriority w:val="34"/>
    <w:semiHidden/>
    <w:unhideWhenUsed/>
    <w:rsid w:val="00E31314"/>
    <w:rPr>
      <w:rFonts w:ascii="Arial" w:hAnsi="Arial"/>
      <w:lang w:val="x-non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Strong">
    <w:name w:val="Strong"/>
    <w:basedOn w:val="DefaultParagraphFont"/>
    <w:qFormat/>
    <w:rsid w:val="00E31314"/>
    <w:rPr>
      <w:b/>
      <w:bCs/>
    </w:rPr>
  </w:style>
  <w:style w:type="paragraph" w:styleId="Subtitle">
    <w:name w:val="Subtitle"/>
    <w:basedOn w:val="Normal"/>
    <w:next w:val="Normal"/>
    <w:link w:val="SubtitleChar"/>
    <w:qFormat/>
    <w:rsid w:val="00E313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3131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A1FF-34EE-4463-A477-6FFAB352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6073</Words>
  <Characters>34620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40612</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User</cp:lastModifiedBy>
  <cp:revision>17</cp:revision>
  <cp:lastPrinted>2017-11-08T14:42:00Z</cp:lastPrinted>
  <dcterms:created xsi:type="dcterms:W3CDTF">2017-01-17T12:09:00Z</dcterms:created>
  <dcterms:modified xsi:type="dcterms:W3CDTF">2017-11-08T15:08:00Z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